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0" w:rsidRDefault="008217A0"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4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5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6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    <v:imagedata r:id="rId17" o:title="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    <v:imagedata r:id="rId18" o:title="Vertical_RGB_600"/>
                </v:shape>
              </v:group>
            </w:pict>
          </mc:Fallback>
        </mc:AlternateConten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CE2F88" w:rsidRDefault="00CE2F88" w:rsidP="004A4418">
      <w:pPr>
        <w:jc w:val="right"/>
        <w:rPr>
          <w:rFonts w:ascii="Sylfaen" w:hAnsi="Sylfaen" w:cstheme="minorHAnsi"/>
          <w:b/>
          <w:sz w:val="62"/>
          <w:szCs w:val="24"/>
          <w:lang w:val="hy-AM"/>
        </w:rPr>
      </w:pPr>
      <w:bookmarkStart w:id="0" w:name="_Toc10207648"/>
      <w:r w:rsidRPr="00CE2F88">
        <w:rPr>
          <w:rFonts w:ascii="Sylfaen" w:hAnsi="Sylfaen" w:cs="Arial"/>
          <w:b/>
          <w:sz w:val="62"/>
          <w:szCs w:val="24"/>
          <w:lang w:val="hy-AM"/>
        </w:rPr>
        <w:t>Հ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ամայնքի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զարգացման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հեռանկարը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5888" behindDoc="0" locked="0" layoutInCell="1" allowOverlap="1" wp14:anchorId="39103CC5" wp14:editId="3EF81BE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3840" behindDoc="0" locked="0" layoutInCell="1" allowOverlap="1" wp14:anchorId="4F530139" wp14:editId="3E62CA2A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2816" behindDoc="0" locked="0" layoutInCell="1" allowOverlap="1" wp14:anchorId="6EF27AA8" wp14:editId="67587138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1792" behindDoc="0" locked="0" layoutInCell="1" allowOverlap="1" wp14:anchorId="46FC6AA7" wp14:editId="5C94656E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440401DB" wp14:editId="68C800AE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4864" behindDoc="0" locked="0" layoutInCell="1" allowOverlap="1" wp14:anchorId="5BCEF00C" wp14:editId="2CDBD839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7936" behindDoc="0" locked="0" layoutInCell="1" allowOverlap="1" wp14:anchorId="0902D0B6" wp14:editId="4C0D8CF7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6912" behindDoc="0" locked="0" layoutInCell="1" allowOverlap="1" wp14:anchorId="3EE5B812" wp14:editId="0DD36A4D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0224" behindDoc="0" locked="0" layoutInCell="1" allowOverlap="1" wp14:anchorId="02A1C4B3" wp14:editId="1303A766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2032" behindDoc="0" locked="0" layoutInCell="1" allowOverlap="1" wp14:anchorId="0E39B985" wp14:editId="578ED60B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8960" behindDoc="0" locked="0" layoutInCell="1" allowOverlap="1" wp14:anchorId="1DB63CB7" wp14:editId="7343EE5A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1008" behindDoc="0" locked="0" layoutInCell="1" allowOverlap="1" wp14:anchorId="101BE38A" wp14:editId="18F4EDE4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9984" behindDoc="0" locked="0" layoutInCell="1" allowOverlap="1" wp14:anchorId="0757059E" wp14:editId="307F444F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2272" behindDoc="0" locked="0" layoutInCell="1" allowOverlap="1" wp14:anchorId="1D6C503C" wp14:editId="5F4ED6DA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4080" behindDoc="0" locked="0" layoutInCell="1" allowOverlap="1" wp14:anchorId="6E9546DA" wp14:editId="6FCC1B58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3056" behindDoc="0" locked="0" layoutInCell="1" allowOverlap="1" wp14:anchorId="0441EC71" wp14:editId="70186D0F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9504" behindDoc="0" locked="0" layoutInCell="1" allowOverlap="1" wp14:anchorId="741CD99F" wp14:editId="11D5AEA9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2576" behindDoc="0" locked="0" layoutInCell="1" allowOverlap="1" wp14:anchorId="4D9A53A6" wp14:editId="3487E15F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1552" behindDoc="0" locked="0" layoutInCell="1" allowOverlap="1" wp14:anchorId="5BDDB9B9" wp14:editId="642AE198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7696" behindDoc="0" locked="0" layoutInCell="1" allowOverlap="1" wp14:anchorId="5C1D79EE" wp14:editId="71DB8702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3600" behindDoc="0" locked="0" layoutInCell="1" allowOverlap="1" wp14:anchorId="0DD758FB" wp14:editId="197D5566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0528" behindDoc="0" locked="0" layoutInCell="1" allowOverlap="1" wp14:anchorId="7841F714" wp14:editId="15B0AFFB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365BF172" wp14:editId="004A8446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5104" behindDoc="0" locked="0" layoutInCell="1" allowOverlap="1" wp14:anchorId="45C12D72" wp14:editId="1EF95B37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6672" behindDoc="0" locked="0" layoutInCell="1" allowOverlap="1" wp14:anchorId="5F2D04F3" wp14:editId="5D23D26A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5648" behindDoc="0" locked="0" layoutInCell="1" allowOverlap="1" wp14:anchorId="424C1B2D" wp14:editId="7CBB720C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1248" behindDoc="0" locked="0" layoutInCell="1" allowOverlap="1" wp14:anchorId="3E133B5C" wp14:editId="02D8FBC9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6128" behindDoc="0" locked="0" layoutInCell="1" allowOverlap="1" wp14:anchorId="59400CCF" wp14:editId="09384349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8480" behindDoc="0" locked="0" layoutInCell="1" allowOverlap="1" wp14:anchorId="4E7A0915" wp14:editId="3ABB41FF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0768" behindDoc="0" locked="0" layoutInCell="1" allowOverlap="1" wp14:anchorId="3CDFA589" wp14:editId="6ADE40B3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9744" behindDoc="0" locked="0" layoutInCell="1" allowOverlap="1" wp14:anchorId="6B64FB40" wp14:editId="1C07B99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8720" behindDoc="0" locked="0" layoutInCell="1" allowOverlap="1" wp14:anchorId="6F66B821" wp14:editId="52B2BCA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7152" behindDoc="0" locked="0" layoutInCell="1" allowOverlap="1" wp14:anchorId="2DFB4308" wp14:editId="1B475BE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8176" behindDoc="0" locked="0" layoutInCell="1" allowOverlap="1" wp14:anchorId="1B9C95A4" wp14:editId="6125725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9200" behindDoc="0" locked="0" layoutInCell="1" allowOverlap="1" wp14:anchorId="749F810A" wp14:editId="262640E4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D76F00" w:rsidRDefault="00D76F00" w:rsidP="004B7173">
      <w:pPr>
        <w:pStyle w:val="Heading2"/>
        <w:rPr>
          <w:lang w:val="hy-AM"/>
        </w:rPr>
      </w:pPr>
      <w:bookmarkStart w:id="1" w:name="_Toc10207677"/>
      <w:bookmarkStart w:id="2" w:name="_GoBack"/>
      <w:bookmarkEnd w:id="0"/>
      <w:r w:rsidRPr="000E093E">
        <w:rPr>
          <w:lang w:val="hy-AM"/>
        </w:rPr>
        <w:lastRenderedPageBreak/>
        <w:t>Ստեփանավան</w:t>
      </w:r>
      <w:bookmarkEnd w:id="1"/>
    </w:p>
    <w:bookmarkEnd w:id="2"/>
    <w:p w:rsidR="004B7173" w:rsidRDefault="004B7173" w:rsidP="004B7173">
      <w:pPr>
        <w:rPr>
          <w:lang w:val="hy-AM"/>
        </w:rPr>
      </w:pPr>
    </w:p>
    <w:p w:rsidR="00D76F00" w:rsidRPr="004B7173" w:rsidRDefault="004B7173" w:rsidP="004B7173">
      <w:pPr>
        <w:rPr>
          <w:lang w:val="hy-AM"/>
        </w:rPr>
      </w:pPr>
      <w:r>
        <w:rPr>
          <w:lang w:val="hy-AM"/>
        </w:rPr>
        <w:t xml:space="preserve">Ստեփանավանը վաղը՝ </w:t>
      </w:r>
    </w:p>
    <w:p w:rsidR="00D76F00" w:rsidRDefault="00B5634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>Տուրիզմը</w:t>
      </w:r>
      <w:r w:rsidR="00D76F00" w:rsidRPr="00B56340">
        <w:rPr>
          <w:rFonts w:ascii="Sylfaen" w:hAnsi="Sylfaen" w:cs="Calibri"/>
          <w:lang w:val="hy-AM"/>
        </w:rPr>
        <w:t xml:space="preserve"> համայնքի ամենազարգացած ճյուղն է, գործում են ժամանակի պահանջներին համապատասխան սպասարկմամբ  և չափանիշներով հյուրանոցներ և հյուրատներ։ Հիմնվել և արդյունավետ աշխատում են տուրիզմի զարգացման կենտրոնն ու տուրիստական  գործակալությունները։ Օդանավակայանը վերագործարկվել է։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 xml:space="preserve">Տուրիստների ժամանցը հետաքրքիր կազմակերպելու համար առկա են զվարճանքի </w:t>
      </w:r>
      <w:r w:rsidR="00B56340" w:rsidRPr="00B56340">
        <w:rPr>
          <w:rFonts w:ascii="Sylfaen" w:hAnsi="Sylfaen" w:cs="Calibri"/>
          <w:lang w:val="hy-AM"/>
        </w:rPr>
        <w:t>կենտրոններ</w:t>
      </w:r>
      <w:r w:rsidRPr="00B56340">
        <w:rPr>
          <w:rFonts w:ascii="Sylfaen" w:hAnsi="Sylfaen" w:cs="Calibri"/>
          <w:lang w:val="hy-AM"/>
        </w:rPr>
        <w:t xml:space="preserve">, զիփլայն, ճոպանուղի, առողջարանային  համալիր և այլն։ Զարգացած է ռեստորանային </w:t>
      </w:r>
      <w:r w:rsidR="006F43EF">
        <w:rPr>
          <w:rFonts w:ascii="Sylfaen" w:hAnsi="Sylfaen" w:cs="Calibri"/>
          <w:lang w:val="hy-AM"/>
        </w:rPr>
        <w:t>բիզնես</w:t>
      </w:r>
      <w:r w:rsidRPr="00B56340">
        <w:rPr>
          <w:rFonts w:ascii="Sylfaen" w:hAnsi="Sylfaen" w:cs="Calibri"/>
          <w:lang w:val="hy-AM"/>
        </w:rPr>
        <w:t xml:space="preserve">ը։ 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 xml:space="preserve">Կատարելագործվել է գյուղատնտեսությունը։  Կառուցվել են անասնապահական մեծ համալիրներ։  Ընդլայնվել </w:t>
      </w:r>
      <w:r w:rsidR="00BE6A23">
        <w:rPr>
          <w:rFonts w:ascii="Sylfaen" w:hAnsi="Sylfaen" w:cs="Calibri"/>
          <w:lang w:val="hy-AM"/>
        </w:rPr>
        <w:t>են</w:t>
      </w:r>
      <w:r w:rsidRPr="00B56340">
        <w:rPr>
          <w:rFonts w:ascii="Sylfaen" w:hAnsi="Sylfaen" w:cs="Calibri"/>
          <w:lang w:val="hy-AM"/>
        </w:rPr>
        <w:t xml:space="preserve"> այգեգործությունը և ձկնաբուծությունը։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>Զարգացել է տեքստիլ արտադրության ոլորտը։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>Վերաբացվել և ավելացել են կաթի վերամշակման արտադրամասերը, ինչպես նաև մրգերի ու հատապտուղների վերամշակման կետեր</w:t>
      </w:r>
      <w:r w:rsidR="008F0DA5">
        <w:rPr>
          <w:rFonts w:ascii="Sylfaen" w:hAnsi="Sylfaen" w:cs="Calibri"/>
          <w:lang w:val="hy-AM"/>
        </w:rPr>
        <w:t>ը</w:t>
      </w:r>
      <w:r w:rsidRPr="00B56340">
        <w:rPr>
          <w:rFonts w:ascii="Sylfaen" w:hAnsi="Sylfaen" w:cs="Calibri"/>
          <w:lang w:val="hy-AM"/>
        </w:rPr>
        <w:t xml:space="preserve"> (չիր, պահածո)։ Գործում է սպանդանոց։ 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>Աղբի վերամշակման գործարանը վերամշակում է համայնքում առաջացած աղբի գերակշիռ մասը։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>Մշակույթի տունը, արվեստի դպրոցը և սպորտդպրոցը հագեցած են ժամանակակից գործիքներով և մարզագույքով։ Աշխատում են որակավորված մասնագետներ` բարձր վարձատրությամբ։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8F0DA5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Համայնքում գործում են թ</w:t>
      </w:r>
      <w:r w:rsidR="00D76F00" w:rsidRPr="00B56340">
        <w:rPr>
          <w:rFonts w:ascii="Sylfaen" w:hAnsi="Sylfaen" w:cs="Calibri"/>
          <w:lang w:val="hy-AM"/>
        </w:rPr>
        <w:t>ատրոն</w:t>
      </w:r>
      <w:r>
        <w:rPr>
          <w:rFonts w:ascii="Sylfaen" w:hAnsi="Sylfaen" w:cs="Calibri"/>
          <w:lang w:val="hy-AM"/>
        </w:rPr>
        <w:t xml:space="preserve"> և</w:t>
      </w:r>
      <w:r w:rsidR="00D76F00" w:rsidRPr="00B56340">
        <w:rPr>
          <w:rFonts w:ascii="Sylfaen" w:hAnsi="Sylfaen" w:cs="Calibri"/>
          <w:lang w:val="hy-AM"/>
        </w:rPr>
        <w:t xml:space="preserve"> կամերային երաժշտության կենտրոն</w:t>
      </w:r>
      <w:r w:rsidR="00B56340">
        <w:rPr>
          <w:rFonts w:ascii="Sylfaen" w:hAnsi="Sylfaen" w:cs="Calibri"/>
          <w:lang w:val="hy-AM"/>
        </w:rPr>
        <w:t>։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>Բացվել է առողջապահության վերականգնողական կենտրոն, առողջապահության որակը զգալիորեն  բարձրացվել է և հասանելի է բոլորին,  հիվանդանոցը տեխնիկապես վերազինված է։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>Հիմնվել է ռոբոտաշինության դպրոց, դպրոցներում առկա են լաբորատորիաներ, միջնակարգ կրթությունը</w:t>
      </w:r>
      <w:r w:rsidR="008F0DA5">
        <w:rPr>
          <w:rFonts w:ascii="Sylfaen" w:hAnsi="Sylfaen" w:cs="Calibri"/>
          <w:lang w:val="hy-AM"/>
        </w:rPr>
        <w:t xml:space="preserve"> տասն</w:t>
      </w:r>
      <w:r w:rsidRPr="00B56340">
        <w:rPr>
          <w:rFonts w:ascii="Sylfaen" w:hAnsi="Sylfaen" w:cs="Calibri"/>
          <w:lang w:val="hy-AM"/>
        </w:rPr>
        <w:t xml:space="preserve">ամյա է,  ուսուցիչները վերապատրաստված են և ստանում են բարձր աշխատավարձ։ Վերաբացվել են պրոֆ-տեխ ուսումնարանները, հիմնվել են ԲՈՒՀ-եր կամ Երևանում գործող ԲՈՒՀ-երի մասնաճյուղեր, ինչպես նաև կոնսերվատորիա։ 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Pr="00B5634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lastRenderedPageBreak/>
        <w:t>Խնամքի և ժամանցի կենտրոններ կան ծերերի համար, գործում են ժամանակակից մանկապարտեզներ երեխաների համար։ Մանկապարտեզների աշխատակիցները ևս ունեն համապատասխան որակավորում։</w:t>
      </w:r>
    </w:p>
    <w:p w:rsidR="00D76F0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>Բոլոր վագոն տնակները վերացած են և կառուցված են գեղեցիկ</w:t>
      </w:r>
      <w:r w:rsidR="00980CA6">
        <w:rPr>
          <w:rFonts w:ascii="Sylfaen" w:hAnsi="Sylfaen" w:cs="Calibri"/>
          <w:lang w:val="hy-AM"/>
        </w:rPr>
        <w:t>,</w:t>
      </w:r>
      <w:r w:rsidRPr="00B56340">
        <w:rPr>
          <w:rFonts w:ascii="Sylfaen" w:hAnsi="Sylfaen" w:cs="Calibri"/>
          <w:lang w:val="hy-AM"/>
        </w:rPr>
        <w:t xml:space="preserve"> բնակելի տներ, շենքերի շրջակայքում խաղահրապարակներ, մարդիկ ստանում են բարձր կենսաթոշակ և բնակչության կենսամակարդակը բարձր է</w:t>
      </w:r>
      <w:r w:rsidR="00B56340">
        <w:rPr>
          <w:rFonts w:ascii="Sylfaen" w:hAnsi="Sylfaen" w:cs="Calibri"/>
          <w:lang w:val="hy-AM"/>
        </w:rPr>
        <w:t>։</w:t>
      </w:r>
    </w:p>
    <w:p w:rsidR="00B56340" w:rsidRPr="00B56340" w:rsidRDefault="00B56340" w:rsidP="00B56340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Pr="00B56340" w:rsidRDefault="00D76F00" w:rsidP="00B56340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B56340">
        <w:rPr>
          <w:rFonts w:ascii="Sylfaen" w:hAnsi="Sylfaen" w:cs="Calibri"/>
          <w:lang w:val="hy-AM"/>
        </w:rPr>
        <w:t xml:space="preserve">Համայնքը </w:t>
      </w:r>
      <w:r w:rsidR="008F0DA5">
        <w:rPr>
          <w:rFonts w:ascii="Sylfaen" w:hAnsi="Sylfaen" w:cs="Calibri"/>
          <w:lang w:val="hy-AM"/>
        </w:rPr>
        <w:t>գազա</w:t>
      </w:r>
      <w:r w:rsidR="00B56340" w:rsidRPr="00B56340">
        <w:rPr>
          <w:rFonts w:ascii="Sylfaen" w:hAnsi="Sylfaen" w:cs="Calibri"/>
          <w:lang w:val="hy-AM"/>
        </w:rPr>
        <w:t>ֆիկացված</w:t>
      </w:r>
      <w:r w:rsidRPr="00B56340">
        <w:rPr>
          <w:rFonts w:ascii="Sylfaen" w:hAnsi="Sylfaen" w:cs="Calibri"/>
          <w:lang w:val="hy-AM"/>
        </w:rPr>
        <w:t xml:space="preserve"> է և կարգավորված է ջրամատակարարումը։ Ճանապարհներն ասֆալտապատված են և լուսավորված։ Կառուցված են խաղահրապարակներ և ժամանցի վայրեր։ Գյուղական բնակավայրերը զարգացած են։</w:t>
      </w:r>
    </w:p>
    <w:p w:rsidR="00D76F00" w:rsidRPr="000E093E" w:rsidRDefault="00D76F00" w:rsidP="00D76F00">
      <w:pPr>
        <w:pStyle w:val="ListParagraph"/>
        <w:ind w:left="1080" w:hanging="450"/>
        <w:rPr>
          <w:rFonts w:ascii="Sylfaen" w:hAnsi="Sylfaen"/>
          <w:sz w:val="24"/>
          <w:szCs w:val="24"/>
          <w:lang w:val="hy-AM"/>
        </w:rPr>
      </w:pPr>
    </w:p>
    <w:p w:rsidR="00D76F00" w:rsidRPr="000E093E" w:rsidRDefault="00D76F00" w:rsidP="00D76F00">
      <w:pPr>
        <w:pStyle w:val="ListParagraph"/>
        <w:ind w:left="1080" w:hanging="450"/>
        <w:rPr>
          <w:rFonts w:ascii="Sylfaen" w:hAnsi="Sylfaen"/>
          <w:sz w:val="24"/>
          <w:szCs w:val="24"/>
          <w:lang w:val="hy-AM"/>
        </w:rPr>
      </w:pPr>
    </w:p>
    <w:p w:rsidR="00D76F00" w:rsidRPr="001650BA" w:rsidRDefault="00D76F00" w:rsidP="001650BA">
      <w:pPr>
        <w:shd w:val="clear" w:color="auto" w:fill="FFFFFF" w:themeFill="background1"/>
        <w:spacing w:line="240" w:lineRule="auto"/>
        <w:jc w:val="both"/>
        <w:rPr>
          <w:rFonts w:ascii="Sylfaen" w:hAnsi="Sylfaen" w:cs="Calibri"/>
          <w:b/>
          <w:lang w:val="hy-AM"/>
        </w:rPr>
      </w:pPr>
      <w:r w:rsidRPr="001650BA">
        <w:rPr>
          <w:rFonts w:ascii="Sylfaen" w:hAnsi="Sylfaen" w:cs="Calibri"/>
          <w:b/>
          <w:lang w:val="hy-AM"/>
        </w:rPr>
        <w:t>Նպատակ</w:t>
      </w:r>
      <w:r w:rsidR="001650BA">
        <w:rPr>
          <w:rFonts w:ascii="Sylfaen" w:hAnsi="Sylfaen" w:cs="Calibri"/>
          <w:b/>
          <w:lang w:val="hy-AM"/>
        </w:rPr>
        <w:t>ներ</w:t>
      </w:r>
    </w:p>
    <w:p w:rsidR="00D76F00" w:rsidRPr="001650BA" w:rsidRDefault="00D76F00" w:rsidP="001650BA">
      <w:pPr>
        <w:shd w:val="clear" w:color="auto" w:fill="FFFFFF" w:themeFill="background1"/>
        <w:spacing w:line="240" w:lineRule="auto"/>
        <w:jc w:val="both"/>
        <w:rPr>
          <w:rFonts w:ascii="Sylfaen" w:hAnsi="Sylfaen" w:cs="Calibri"/>
          <w:b/>
          <w:lang w:val="hy-AM"/>
        </w:rPr>
      </w:pPr>
      <w:r w:rsidRPr="001650BA">
        <w:rPr>
          <w:rFonts w:ascii="Sylfaen" w:hAnsi="Sylfaen" w:cs="Calibri"/>
          <w:b/>
          <w:lang w:val="hy-AM"/>
        </w:rPr>
        <w:t>Ֆինանսական միջոցների ներգրավում համայնք</w:t>
      </w:r>
    </w:p>
    <w:tbl>
      <w:tblPr>
        <w:tblStyle w:val="TableGrid"/>
        <w:tblW w:w="9402" w:type="dxa"/>
        <w:tblInd w:w="137" w:type="dxa"/>
        <w:tblLook w:val="04A0" w:firstRow="1" w:lastRow="0" w:firstColumn="1" w:lastColumn="0" w:noHBand="0" w:noVBand="1"/>
      </w:tblPr>
      <w:tblGrid>
        <w:gridCol w:w="6662"/>
        <w:gridCol w:w="2740"/>
      </w:tblGrid>
      <w:tr w:rsidR="00D76F00" w:rsidRPr="001650BA" w:rsidTr="001650BA">
        <w:trPr>
          <w:trHeight w:val="449"/>
        </w:trPr>
        <w:tc>
          <w:tcPr>
            <w:tcW w:w="6662" w:type="dxa"/>
            <w:shd w:val="clear" w:color="auto" w:fill="FFFFFF" w:themeFill="background1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740" w:type="dxa"/>
            <w:shd w:val="clear" w:color="auto" w:fill="FFFFFF" w:themeFill="background1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1650BA" w:rsidTr="001650BA">
        <w:tc>
          <w:tcPr>
            <w:tcW w:w="6662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Մարաթոնների կազմակերպում և հասույթի տրամադրում համայն</w:t>
            </w:r>
            <w:r w:rsidR="008F0DA5">
              <w:rPr>
                <w:rFonts w:cs="Calibri"/>
                <w:sz w:val="22"/>
                <w:lang w:val="hy-AM"/>
              </w:rPr>
              <w:t>քին</w:t>
            </w:r>
          </w:p>
        </w:tc>
        <w:tc>
          <w:tcPr>
            <w:tcW w:w="2740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ՏԻՄ, աջակից կառույցներ,  կառավարություն</w:t>
            </w:r>
          </w:p>
        </w:tc>
      </w:tr>
      <w:tr w:rsidR="00D76F00" w:rsidRPr="001650BA" w:rsidTr="001650BA">
        <w:tc>
          <w:tcPr>
            <w:tcW w:w="6662" w:type="dxa"/>
          </w:tcPr>
          <w:p w:rsidR="00D76F00" w:rsidRPr="001650BA" w:rsidRDefault="00D76F00" w:rsidP="008F0DA5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 xml:space="preserve">Համայնքի կողմից ծրագրերի մշակում և ներկայացում աջակից </w:t>
            </w:r>
            <w:r w:rsidR="008F0DA5">
              <w:rPr>
                <w:rFonts w:cs="Calibri"/>
                <w:sz w:val="22"/>
                <w:lang w:val="hy-AM"/>
              </w:rPr>
              <w:t>կառույցներին,</w:t>
            </w:r>
            <w:r w:rsidRPr="001650BA">
              <w:rPr>
                <w:rFonts w:cs="Calibri"/>
                <w:sz w:val="22"/>
                <w:lang w:val="hy-AM"/>
              </w:rPr>
              <w:t xml:space="preserve"> </w:t>
            </w:r>
            <w:r w:rsidR="008F0DA5" w:rsidRPr="001650BA">
              <w:rPr>
                <w:rFonts w:cs="Calibri"/>
                <w:sz w:val="22"/>
                <w:lang w:val="hy-AM"/>
              </w:rPr>
              <w:t>միջազգային կազմակերպություններից</w:t>
            </w:r>
            <w:r w:rsidR="008F0DA5">
              <w:rPr>
                <w:rFonts w:cs="Calibri"/>
                <w:sz w:val="22"/>
                <w:lang w:val="hy-AM"/>
              </w:rPr>
              <w:t xml:space="preserve"> դ</w:t>
            </w:r>
            <w:r w:rsidRPr="001650BA">
              <w:rPr>
                <w:rFonts w:cs="Calibri"/>
                <w:sz w:val="22"/>
                <w:lang w:val="hy-AM"/>
              </w:rPr>
              <w:t xml:space="preserve">րամաշնորհային միջոցների </w:t>
            </w:r>
            <w:r w:rsidR="008F0DA5">
              <w:rPr>
                <w:rFonts w:cs="Calibri"/>
                <w:sz w:val="22"/>
                <w:lang w:val="hy-AM"/>
              </w:rPr>
              <w:t>ներգրա</w:t>
            </w:r>
            <w:r w:rsidRPr="001650BA">
              <w:rPr>
                <w:rFonts w:cs="Calibri"/>
                <w:sz w:val="22"/>
                <w:lang w:val="hy-AM"/>
              </w:rPr>
              <w:t xml:space="preserve">վում </w:t>
            </w:r>
          </w:p>
        </w:tc>
        <w:tc>
          <w:tcPr>
            <w:tcW w:w="2740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 xml:space="preserve">ՏԻՄ, ՀԿ- </w:t>
            </w:r>
            <w:r w:rsidR="00662022">
              <w:rPr>
                <w:rFonts w:cs="Calibri"/>
                <w:sz w:val="22"/>
                <w:lang w:val="hy-AM"/>
              </w:rPr>
              <w:t>ներ</w:t>
            </w:r>
          </w:p>
        </w:tc>
      </w:tr>
      <w:tr w:rsidR="00D76F00" w:rsidRPr="006142CE" w:rsidTr="001650BA">
        <w:tc>
          <w:tcPr>
            <w:tcW w:w="6662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 xml:space="preserve">Բնակիչների ներգրավում համայնքի զարգացման գործին՝ սկսած տեղական հարկերի և տուրքերի </w:t>
            </w:r>
            <w:r w:rsidR="001650BA" w:rsidRPr="001650BA">
              <w:rPr>
                <w:rFonts w:cs="Calibri"/>
                <w:sz w:val="22"/>
                <w:lang w:val="hy-AM"/>
              </w:rPr>
              <w:t>բարեխիղճ</w:t>
            </w:r>
            <w:r w:rsidRPr="001650BA">
              <w:rPr>
                <w:rFonts w:cs="Calibri"/>
                <w:sz w:val="22"/>
                <w:lang w:val="hy-AM"/>
              </w:rPr>
              <w:t xml:space="preserve"> </w:t>
            </w:r>
            <w:r w:rsidR="008F0DA5">
              <w:rPr>
                <w:rFonts w:cs="Calibri"/>
                <w:sz w:val="22"/>
                <w:lang w:val="hy-AM"/>
              </w:rPr>
              <w:t>վճարումից,</w:t>
            </w:r>
            <w:r w:rsidRPr="001650BA">
              <w:rPr>
                <w:rFonts w:cs="Calibri"/>
                <w:sz w:val="22"/>
                <w:lang w:val="hy-AM"/>
              </w:rPr>
              <w:t xml:space="preserve"> </w:t>
            </w:r>
            <w:r w:rsidR="008F0DA5">
              <w:rPr>
                <w:rFonts w:cs="Calibri"/>
                <w:sz w:val="22"/>
                <w:lang w:val="hy-AM"/>
              </w:rPr>
              <w:t>կ</w:t>
            </w:r>
            <w:r w:rsidRPr="001650BA">
              <w:rPr>
                <w:rFonts w:cs="Calibri"/>
                <w:sz w:val="22"/>
                <w:lang w:val="hy-AM"/>
              </w:rPr>
              <w:t xml:space="preserve">լոր սեղանների, երկխոսությունների կազմակերպում, պլանների ներկայացում </w:t>
            </w:r>
            <w:r w:rsidR="008F0DA5">
              <w:rPr>
                <w:rFonts w:cs="Calibri"/>
                <w:sz w:val="22"/>
                <w:lang w:val="hy-AM"/>
              </w:rPr>
              <w:t>հանրությանը</w:t>
            </w:r>
          </w:p>
          <w:p w:rsidR="00D76F00" w:rsidRPr="001650BA" w:rsidRDefault="00D76F00" w:rsidP="001650BA">
            <w:pPr>
              <w:shd w:val="clear" w:color="auto" w:fill="FFFFFF" w:themeFill="background1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740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ՏԻՄ, ԶԼՄ-ներ, ՀԿ սեկտոր</w:t>
            </w:r>
          </w:p>
        </w:tc>
      </w:tr>
      <w:tr w:rsidR="00D76F00" w:rsidRPr="001650BA" w:rsidTr="001650BA">
        <w:tc>
          <w:tcPr>
            <w:tcW w:w="6662" w:type="dxa"/>
          </w:tcPr>
          <w:p w:rsidR="00D76F00" w:rsidRPr="001650BA" w:rsidRDefault="008F0DA5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Դպրոցներում</w:t>
            </w:r>
            <w:r w:rsidR="00D76F00" w:rsidRPr="001650BA">
              <w:rPr>
                <w:rFonts w:cs="Calibri"/>
                <w:sz w:val="22"/>
                <w:lang w:val="hy-AM"/>
              </w:rPr>
              <w:t xml:space="preserve"> համայնքի դերը և </w:t>
            </w:r>
            <w:r w:rsidR="001650BA" w:rsidRPr="001650BA">
              <w:rPr>
                <w:rFonts w:cs="Calibri"/>
                <w:sz w:val="22"/>
                <w:lang w:val="hy-AM"/>
              </w:rPr>
              <w:t>կարևորություն</w:t>
            </w:r>
            <w:r w:rsidR="001650BA">
              <w:rPr>
                <w:rFonts w:cs="Calibri"/>
                <w:sz w:val="22"/>
                <w:lang w:val="hy-AM"/>
              </w:rPr>
              <w:t>ը</w:t>
            </w:r>
            <w:r w:rsidR="00D76F00" w:rsidRPr="001650BA">
              <w:rPr>
                <w:rFonts w:cs="Calibri"/>
                <w:sz w:val="22"/>
                <w:lang w:val="hy-AM"/>
              </w:rPr>
              <w:t xml:space="preserve"> թեմայով </w:t>
            </w:r>
            <w:r>
              <w:rPr>
                <w:rFonts w:cs="Calibri"/>
                <w:sz w:val="22"/>
                <w:lang w:val="hy-AM"/>
              </w:rPr>
              <w:t>առարկաների դասավանդում</w:t>
            </w:r>
          </w:p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740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</w:tbl>
    <w:p w:rsidR="00D76F00" w:rsidRPr="001650BA" w:rsidRDefault="00D76F00" w:rsidP="001650BA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D76F00" w:rsidRPr="001650BA" w:rsidRDefault="00D76F00" w:rsidP="001650BA">
      <w:pPr>
        <w:shd w:val="clear" w:color="auto" w:fill="FFFFFF" w:themeFill="background1"/>
        <w:spacing w:line="240" w:lineRule="auto"/>
        <w:jc w:val="both"/>
        <w:rPr>
          <w:rFonts w:ascii="Sylfaen" w:hAnsi="Sylfaen" w:cs="Calibri"/>
          <w:lang w:val="hy-AM"/>
        </w:rPr>
      </w:pPr>
      <w:r w:rsidRPr="001650BA">
        <w:rPr>
          <w:rFonts w:ascii="Sylfaen" w:hAnsi="Sylfaen" w:cs="Calibri"/>
          <w:b/>
          <w:lang w:val="hy-AM"/>
        </w:rPr>
        <w:t>Արտագաղթի կասեցում, կենսամակարդակի բարձրացում</w:t>
      </w:r>
    </w:p>
    <w:p w:rsidR="00D76F00" w:rsidRPr="001650BA" w:rsidRDefault="00D76F00" w:rsidP="001650BA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tbl>
      <w:tblPr>
        <w:tblStyle w:val="TableGrid"/>
        <w:tblW w:w="9421" w:type="dxa"/>
        <w:tblInd w:w="137" w:type="dxa"/>
        <w:tblLook w:val="04A0" w:firstRow="1" w:lastRow="0" w:firstColumn="1" w:lastColumn="0" w:noHBand="0" w:noVBand="1"/>
      </w:tblPr>
      <w:tblGrid>
        <w:gridCol w:w="6662"/>
        <w:gridCol w:w="2759"/>
      </w:tblGrid>
      <w:tr w:rsidR="00D76F00" w:rsidRPr="001650BA" w:rsidTr="001650BA">
        <w:trPr>
          <w:trHeight w:val="449"/>
        </w:trPr>
        <w:tc>
          <w:tcPr>
            <w:tcW w:w="6662" w:type="dxa"/>
            <w:shd w:val="clear" w:color="auto" w:fill="FFFFFF" w:themeFill="background1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759" w:type="dxa"/>
            <w:shd w:val="clear" w:color="auto" w:fill="FFFFFF" w:themeFill="background1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1650BA" w:rsidTr="001650BA">
        <w:tc>
          <w:tcPr>
            <w:tcW w:w="6662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 xml:space="preserve">Կառավարությունը իրականացնի ֆինանսական և դիվանագիտական ճիշտ </w:t>
            </w:r>
            <w:r w:rsidR="008F0DA5">
              <w:rPr>
                <w:rFonts w:cs="Calibri"/>
                <w:sz w:val="22"/>
                <w:lang w:val="hy-AM"/>
              </w:rPr>
              <w:t>կառավարում</w:t>
            </w:r>
          </w:p>
        </w:tc>
        <w:tc>
          <w:tcPr>
            <w:tcW w:w="2759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1650BA" w:rsidTr="001650BA">
        <w:tc>
          <w:tcPr>
            <w:tcW w:w="6662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 xml:space="preserve">Գործարարների կողմից հարկերի </w:t>
            </w:r>
            <w:r w:rsidR="001650BA" w:rsidRPr="001650BA">
              <w:rPr>
                <w:rFonts w:cs="Calibri"/>
                <w:sz w:val="22"/>
                <w:lang w:val="hy-AM"/>
              </w:rPr>
              <w:t>պարտաճանաչ</w:t>
            </w:r>
            <w:r w:rsidRPr="001650BA">
              <w:rPr>
                <w:rFonts w:cs="Calibri"/>
                <w:sz w:val="22"/>
                <w:lang w:val="hy-AM"/>
              </w:rPr>
              <w:t xml:space="preserve"> </w:t>
            </w:r>
            <w:r w:rsidR="008F0DA5">
              <w:rPr>
                <w:rFonts w:cs="Calibri"/>
                <w:sz w:val="22"/>
                <w:lang w:val="hy-AM"/>
              </w:rPr>
              <w:t>մուծում</w:t>
            </w:r>
          </w:p>
        </w:tc>
        <w:tc>
          <w:tcPr>
            <w:tcW w:w="2759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Գործարարներ</w:t>
            </w:r>
          </w:p>
        </w:tc>
      </w:tr>
      <w:tr w:rsidR="00D76F00" w:rsidRPr="001650BA" w:rsidTr="001650BA">
        <w:tc>
          <w:tcPr>
            <w:tcW w:w="6662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Պետական կառավարման համակարգի բաշխում դեպի մա</w:t>
            </w:r>
            <w:r w:rsidR="008F0DA5">
              <w:rPr>
                <w:rFonts w:cs="Calibri"/>
                <w:sz w:val="22"/>
                <w:lang w:val="hy-AM"/>
              </w:rPr>
              <w:t>րզեր</w:t>
            </w:r>
          </w:p>
        </w:tc>
        <w:tc>
          <w:tcPr>
            <w:tcW w:w="2759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1650BA" w:rsidTr="001650BA">
        <w:tc>
          <w:tcPr>
            <w:tcW w:w="6662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 xml:space="preserve">Ներքին ռեսուրսների ճիշտ </w:t>
            </w:r>
            <w:r w:rsidR="008F0DA5">
              <w:rPr>
                <w:rFonts w:cs="Calibri"/>
                <w:sz w:val="22"/>
                <w:lang w:val="hy-AM"/>
              </w:rPr>
              <w:t>օգտագործում</w:t>
            </w:r>
          </w:p>
        </w:tc>
        <w:tc>
          <w:tcPr>
            <w:tcW w:w="2759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ՏԻՄ, կառավարություն</w:t>
            </w:r>
          </w:p>
        </w:tc>
      </w:tr>
      <w:tr w:rsidR="00D76F00" w:rsidRPr="001650BA" w:rsidTr="001650BA">
        <w:tc>
          <w:tcPr>
            <w:tcW w:w="6662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 xml:space="preserve">Վերահսկողություն գյուղմթերքի գների </w:t>
            </w:r>
            <w:r w:rsidR="008F0DA5">
              <w:rPr>
                <w:rFonts w:cs="Calibri"/>
                <w:sz w:val="22"/>
                <w:lang w:val="hy-AM"/>
              </w:rPr>
              <w:t>վրա</w:t>
            </w:r>
          </w:p>
        </w:tc>
        <w:tc>
          <w:tcPr>
            <w:tcW w:w="2759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1650BA" w:rsidTr="001650BA">
        <w:tc>
          <w:tcPr>
            <w:tcW w:w="6662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Գյուղատնտեսության վերլուծության կենտրոն (հողի կարգի որոշում, պարարտանյութերի տեսակի և քանակի որոշում, մշակաբույսերի ընտրության աջակցություն և այլն)</w:t>
            </w:r>
          </w:p>
        </w:tc>
        <w:tc>
          <w:tcPr>
            <w:tcW w:w="2759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 xml:space="preserve">ՏԻՄ, </w:t>
            </w:r>
            <w:r w:rsidR="008F0DA5">
              <w:rPr>
                <w:rFonts w:cs="Calibri"/>
                <w:sz w:val="22"/>
                <w:lang w:val="hy-AM"/>
              </w:rPr>
              <w:t>ա</w:t>
            </w:r>
            <w:r w:rsidRPr="001650BA"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  <w:tr w:rsidR="00D76F00" w:rsidRPr="001650BA" w:rsidTr="001650BA">
        <w:tc>
          <w:tcPr>
            <w:tcW w:w="6662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 xml:space="preserve">Ֆինանսական ֆոնդերի </w:t>
            </w:r>
            <w:r w:rsidR="008F0DA5">
              <w:rPr>
                <w:rFonts w:cs="Calibri"/>
                <w:sz w:val="22"/>
                <w:lang w:val="hy-AM"/>
              </w:rPr>
              <w:t>ձևավորում</w:t>
            </w:r>
          </w:p>
        </w:tc>
        <w:tc>
          <w:tcPr>
            <w:tcW w:w="2759" w:type="dxa"/>
          </w:tcPr>
          <w:p w:rsidR="00D76F00" w:rsidRPr="001650BA" w:rsidRDefault="00D76F00" w:rsidP="001650BA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650BA">
              <w:rPr>
                <w:rFonts w:cs="Calibri"/>
                <w:sz w:val="22"/>
                <w:lang w:val="hy-AM"/>
              </w:rPr>
              <w:t>Գործարարներ</w:t>
            </w:r>
          </w:p>
        </w:tc>
      </w:tr>
    </w:tbl>
    <w:p w:rsidR="00D76F00" w:rsidRPr="008006A2" w:rsidRDefault="00D76F00">
      <w:pPr>
        <w:rPr>
          <w:rFonts w:ascii="Sylfaen" w:hAnsi="Sylfaen" w:cs="Calibri"/>
        </w:rPr>
      </w:pPr>
    </w:p>
    <w:sectPr w:rsidR="00D76F00" w:rsidRPr="008006A2" w:rsidSect="0083561F">
      <w:footerReference w:type="default" r:id="rId21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95" w:rsidRDefault="001F2A95" w:rsidP="00475C8E">
      <w:pPr>
        <w:spacing w:after="0" w:line="240" w:lineRule="auto"/>
      </w:pPr>
      <w:r>
        <w:separator/>
      </w:r>
    </w:p>
  </w:endnote>
  <w:endnote w:type="continuationSeparator" w:id="0">
    <w:p w:rsidR="001F2A95" w:rsidRDefault="001F2A95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975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95" w:rsidRDefault="001F2A95" w:rsidP="00475C8E">
      <w:pPr>
        <w:spacing w:after="0" w:line="240" w:lineRule="auto"/>
      </w:pPr>
      <w:r>
        <w:separator/>
      </w:r>
    </w:p>
  </w:footnote>
  <w:footnote w:type="continuationSeparator" w:id="0">
    <w:p w:rsidR="001F2A95" w:rsidRDefault="001F2A95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2A95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47A5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80D"/>
    <w:rsid w:val="004839B5"/>
    <w:rsid w:val="00483D32"/>
    <w:rsid w:val="0049079D"/>
    <w:rsid w:val="0049118A"/>
    <w:rsid w:val="004A165F"/>
    <w:rsid w:val="004A2D65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42CE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00C3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6528"/>
    <w:rsid w:val="007D08C5"/>
    <w:rsid w:val="007D3092"/>
    <w:rsid w:val="007E0D7A"/>
    <w:rsid w:val="007E11E7"/>
    <w:rsid w:val="007E2E43"/>
    <w:rsid w:val="007F4E32"/>
    <w:rsid w:val="007F610C"/>
    <w:rsid w:val="008006A2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4658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38FD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2702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2F88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022C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EF7792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C3DD7"/>
    <w:rsid w:val="00FC404B"/>
    <w:rsid w:val="00FC7931"/>
    <w:rsid w:val="00FD3B1B"/>
    <w:rsid w:val="00FD4161"/>
    <w:rsid w:val="00FD4482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2914-F751-435A-975A-FEE6104B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Grigoryan</dc:creator>
  <cp:keywords/>
  <dc:description/>
  <cp:lastModifiedBy>Yeghiazar Davtyan</cp:lastModifiedBy>
  <cp:revision>10</cp:revision>
  <dcterms:created xsi:type="dcterms:W3CDTF">2019-08-07T06:05:00Z</dcterms:created>
  <dcterms:modified xsi:type="dcterms:W3CDTF">2022-07-11T08:23:00Z</dcterms:modified>
</cp:coreProperties>
</file>